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08" w:rsidRDefault="004B3408" w:rsidP="004B3408">
      <w:pPr>
        <w:pStyle w:val="Textebrut"/>
        <w:jc w:val="center"/>
        <w:rPr>
          <w:rFonts w:ascii="Arial" w:hAnsi="Arial" w:cs="Arial"/>
          <w:noProof/>
          <w:lang w:eastAsia="fr-FR"/>
        </w:rPr>
      </w:pPr>
      <w:r w:rsidRPr="004B3408">
        <w:rPr>
          <w:rFonts w:ascii="Arial" w:hAnsi="Arial" w:cs="Arial"/>
          <w:noProof/>
          <w:lang w:eastAsia="fr-FR"/>
        </w:rPr>
        <w:t>CARTE DES LICENCIEMENTS</w:t>
      </w:r>
    </w:p>
    <w:p w:rsidR="004B3408" w:rsidRPr="004B3408" w:rsidRDefault="004B3408" w:rsidP="004B3408">
      <w:pPr>
        <w:pStyle w:val="Textebrut"/>
        <w:jc w:val="center"/>
        <w:rPr>
          <w:rFonts w:ascii="Arial" w:hAnsi="Arial" w:cs="Arial"/>
          <w:noProof/>
          <w:lang w:eastAsia="fr-FR"/>
        </w:rPr>
      </w:pPr>
    </w:p>
    <w:p w:rsidR="00357469" w:rsidRDefault="004B3408" w:rsidP="004B3408">
      <w:pPr>
        <w:pStyle w:val="Textebrut"/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296545</wp:posOffset>
            </wp:positionV>
            <wp:extent cx="4550400" cy="43884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00" cy="43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="00375600" w:rsidRPr="00A6553F">
          <w:rPr>
            <w:rStyle w:val="Lienhypertexte"/>
            <w:rFonts w:ascii="Arial" w:hAnsi="Arial" w:cs="Arial"/>
          </w:rPr>
          <w:t>https://stoplicenciement.fr/</w:t>
        </w:r>
      </w:hyperlink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  <w:bookmarkStart w:id="0" w:name="_GoBack"/>
      <w:bookmarkEnd w:id="0"/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  <w:r>
        <w:rPr>
          <w:rFonts w:ascii="Arial" w:hAnsi="Arial" w:cs="Arial"/>
        </w:rPr>
        <w:t>CARTE DES SUPPRESSIONS DE LITS EN PLEINE PANDEMIE</w:t>
      </w: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  <w:hyperlink r:id="rId6" w:history="1">
        <w:r w:rsidRPr="00A6553F">
          <w:rPr>
            <w:rStyle w:val="Lienhypertexte"/>
            <w:rFonts w:ascii="Arial" w:hAnsi="Arial" w:cs="Arial"/>
          </w:rPr>
          <w:t>https://www.bastamag.net/carte-des-suppressions-de-lits-hopital-covid-reanimation-ARS-CHU</w:t>
        </w:r>
      </w:hyperlink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1152525" y="542925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37600" cy="3517200"/>
            <wp:effectExtent l="0" t="0" r="6350" b="7620"/>
            <wp:wrapTight wrapText="bothSides">
              <wp:wrapPolygon edited="0">
                <wp:start x="0" y="0"/>
                <wp:lineTo x="0" y="21530"/>
                <wp:lineTo x="21542" y="21530"/>
                <wp:lineTo x="2154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600" cy="35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600" w:rsidRDefault="00375600" w:rsidP="004B3408">
      <w:pPr>
        <w:pStyle w:val="Textebrut"/>
        <w:jc w:val="center"/>
        <w:rPr>
          <w:rFonts w:ascii="Arial" w:hAnsi="Arial" w:cs="Arial"/>
        </w:rPr>
      </w:pPr>
    </w:p>
    <w:p w:rsidR="00375600" w:rsidRDefault="00375600" w:rsidP="004B3408">
      <w:pPr>
        <w:pStyle w:val="Textebrut"/>
        <w:jc w:val="center"/>
        <w:rPr>
          <w:rFonts w:ascii="Courier New" w:hAnsi="Courier New" w:cs="Courier New"/>
        </w:rPr>
      </w:pPr>
    </w:p>
    <w:sectPr w:rsidR="00375600" w:rsidSect="00375600">
      <w:pgSz w:w="11906" w:h="16838"/>
      <w:pgMar w:top="851" w:right="1335" w:bottom="568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B"/>
    <w:rsid w:val="00357469"/>
    <w:rsid w:val="00375600"/>
    <w:rsid w:val="004A58CB"/>
    <w:rsid w:val="004B3408"/>
    <w:rsid w:val="009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37215-DD18-4665-A306-8FDAAE6F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00D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00DC0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37560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5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stamag.net/carte-des-suppressions-de-lits-hopital-covid-reanimation-ARS-CHU" TargetMode="External"/><Relationship Id="rId5" Type="http://schemas.openxmlformats.org/officeDocument/2006/relationships/hyperlink" Target="https://stoplicenciement.f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</dc:creator>
  <cp:keywords/>
  <dc:description/>
  <cp:lastModifiedBy>Océane</cp:lastModifiedBy>
  <cp:revision>2</cp:revision>
  <dcterms:created xsi:type="dcterms:W3CDTF">2020-11-07T21:40:00Z</dcterms:created>
  <dcterms:modified xsi:type="dcterms:W3CDTF">2020-11-07T21:40:00Z</dcterms:modified>
</cp:coreProperties>
</file>